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pStyle w:val="NormalWeb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2</w:t>
      </w:r>
    </w:p>
    <w:p>
      <w:pPr>
        <w:jc w:val="center"/>
        <w:rPr>
          <w:rFonts w:ascii="Times New Roman" w:eastAsia="方正小标宋简体" w:hAnsi="Times New Roman"/>
          <w:bCs/>
          <w:sz w:val="36"/>
          <w:szCs w:val="36"/>
          <w:highlight w:val="none"/>
        </w:rPr>
      </w:pPr>
      <w:r>
        <w:rPr>
          <w:rFonts w:ascii="Times New Roman" w:eastAsia="方正小标宋简体" w:hAnsi="Times New Roman" w:hint="eastAsia"/>
          <w:bCs/>
          <w:sz w:val="36"/>
          <w:szCs w:val="36"/>
          <w:highlight w:val="none"/>
        </w:rPr>
        <w:t>“读懂中国”活动作品评审参考标准</w:t>
      </w:r>
    </w:p>
    <w:p>
      <w:pPr>
        <w:spacing w:line="240" w:lineRule="exact"/>
        <w:rPr>
          <w:rFonts w:ascii="黑体" w:eastAsia="黑体" w:hAnsi="黑体" w:cs="黑体"/>
          <w:bCs/>
          <w:sz w:val="32"/>
          <w:szCs w:val="32"/>
          <w:highlight w:val="none"/>
        </w:rPr>
      </w:pPr>
    </w:p>
    <w:p>
      <w:pPr>
        <w:rPr>
          <w:rFonts w:ascii="仿宋_GB2312" w:eastAsia="仿宋_GB2312"/>
          <w:b/>
          <w:sz w:val="32"/>
          <w:szCs w:val="32"/>
          <w:highlight w:val="none"/>
        </w:rPr>
      </w:pP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一、征文评审标准（总分100分）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379"/>
      </w:tblGrid>
      <w:tr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紧扣主题、立意明确（30分）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记录、展示“五老”</w:t>
            </w:r>
            <w:r>
              <w:rPr>
                <w:rFonts w:ascii="Times New Roman" w:eastAsia="仿宋_GB2312" w:hAnsi="Times New Roman" w:hint="eastAsia"/>
                <w:sz w:val="32"/>
                <w:szCs w:val="32"/>
                <w:highlight w:val="none"/>
              </w:rPr>
              <w:t>中老党员的入党初心和历程及为党奋斗的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感人事迹和真实感悟。</w:t>
            </w: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若偏题酌情扣分。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内容详实、表述得当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突出“五老”人物事迹，强调故事性和细节描述，以“五老”的个体经历反映出</w:t>
            </w:r>
            <w:r>
              <w:rPr>
                <w:rFonts w:ascii="仿宋_GB2312" w:eastAsia="仿宋_GB2312" w:hAnsi="宋体" w:hint="eastAsia"/>
                <w:kern w:val="0"/>
                <w:sz w:val="32"/>
                <w:szCs w:val="32"/>
                <w:highlight w:val="none"/>
              </w:rPr>
              <w:t>中国共产党建党百年的光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辉历程和</w:t>
            </w:r>
            <w:r>
              <w:rPr>
                <w:rFonts w:ascii="仿宋_GB2312" w:eastAsia="仿宋_GB2312" w:hAnsi="宋体" w:hint="eastAsia"/>
                <w:kern w:val="0"/>
                <w:sz w:val="32"/>
                <w:szCs w:val="32"/>
                <w:highlight w:val="none"/>
              </w:rPr>
              <w:t>伟大成就</w:t>
            </w: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,切忌写成“五老”个人简历。根据文章实际情况酌情赋分。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语言优美、文笔流畅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根据文章实际情况酌情赋分。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情感真实、表达细腻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sz w:val="32"/>
                <w:szCs w:val="32"/>
                <w:highlight w:val="none"/>
              </w:rPr>
              <w:t>根据文章实际情况酌情赋分。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0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left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文体合规、用字规范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文体为记叙文，字数不超过2000字。文体有误或字数超过2400字即此项为0分，字数在2001-2400字之间或出现不规范用字的酌情扣分。</w:t>
            </w:r>
          </w:p>
        </w:tc>
      </w:tr>
    </w:tbl>
    <w:p>
      <w:pPr>
        <w:spacing w:line="240" w:lineRule="exact"/>
        <w:rPr>
          <w:rFonts w:ascii="黑体" w:eastAsia="黑体" w:hAnsi="黑体" w:cs="黑体"/>
          <w:bCs/>
          <w:sz w:val="32"/>
          <w:szCs w:val="32"/>
          <w:highlight w:val="none"/>
        </w:rPr>
      </w:pPr>
    </w:p>
    <w:p>
      <w:pPr>
        <w:rPr>
          <w:rFonts w:ascii="黑体" w:eastAsia="黑体" w:hAnsi="黑体" w:cs="黑体"/>
          <w:bCs/>
          <w:sz w:val="32"/>
          <w:szCs w:val="32"/>
          <w:highlight w:val="none"/>
        </w:rPr>
      </w:pP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二、微视频评审标准（总分100分）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379"/>
      </w:tblGrid>
      <w:tr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主题表达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（30分）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记录、展示“五老”</w:t>
            </w:r>
            <w:r>
              <w:rPr>
                <w:rFonts w:ascii="Times New Roman" w:eastAsia="仿宋_GB2312" w:hAnsi="Times New Roman" w:hint="eastAsia"/>
                <w:sz w:val="32"/>
                <w:szCs w:val="32"/>
                <w:highlight w:val="none"/>
              </w:rPr>
              <w:t>中老党员的入党初心和历程及为党奋斗的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感人事迹和真实感悟。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突出“五老”人物事迹，强调故事性和细节描述，以“五老”的个体经历反映出</w:t>
            </w:r>
            <w:r>
              <w:rPr>
                <w:rFonts w:ascii="仿宋_GB2312" w:eastAsia="仿宋_GB2312" w:hAnsi="宋体" w:hint="eastAsia"/>
                <w:kern w:val="0"/>
                <w:sz w:val="32"/>
                <w:szCs w:val="32"/>
                <w:highlight w:val="none"/>
              </w:rPr>
              <w:t>中国共产党建党百年的光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辉历程和</w:t>
            </w:r>
            <w:r>
              <w:rPr>
                <w:rFonts w:ascii="仿宋_GB2312" w:eastAsia="仿宋_GB2312" w:hAnsi="宋体" w:hint="eastAsia"/>
                <w:kern w:val="0"/>
                <w:sz w:val="32"/>
                <w:szCs w:val="32"/>
                <w:highlight w:val="none"/>
              </w:rPr>
              <w:t>伟大成就</w:t>
            </w:r>
            <w:r>
              <w:rPr>
                <w:rFonts w:ascii="仿宋_GB2312" w:eastAsia="仿宋_GB2312" w:hAnsi="宋体" w:hint="eastAsia"/>
                <w:color w:val="000000"/>
                <w:kern w:val="0"/>
                <w:sz w:val="32"/>
                <w:szCs w:val="32"/>
                <w:highlight w:val="none"/>
              </w:rPr>
              <w:t>。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切忌拍摄成“五老”个人简历。根据片子实际情况酌情赋分。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/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2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结构设置</w:t>
            </w:r>
          </w:p>
          <w:p>
            <w:pPr>
              <w:spacing w:line="42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2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结构明确、逻辑清晰，悬念设置精彩且自然，能够突出主题、吸引观众。根据片子实际情况酌情赋分。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细节和节奏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调和统一，不突兀；节奏严密且活泼，变化精巧且错落有致；细节运用真实生动，有较强的艺术感染力；画面构图、特效、字幕、片头片尾、暗转等包装处理得当。根据片子实际情况酌情赋分。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电视语言表达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画面语言生动且富有特色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，能够吸引观众眼球、表达出拍</w:t>
            </w:r>
            <w:r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  <w:t>摄主体的内在情绪、心理及表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现</w:t>
            </w:r>
            <w:r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  <w:t>行为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等；解说语言为画面服务，且起到补充和画龙点睛作用；现场语言如采访等，出现时间合适且有对主题阐释等作用，能够很好地渲染影片；字幕语言能够调动观众兴趣，令人印象深刻。电视语言单一，无法讲清事件，无法使观众明白要表达的内容和思想感情的酌情扣分。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剪接和时长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根据影片结构划分篇章结构；镜头衔接自然流畅，转换符合整体节奏，有自己的风格特色，思维逻辑独树一格。如出现跳帧、黑屏等重大技术失误，或时长超过6分钟，该项即为0分；时长在5—6分钟的酌情扣分。根据片子实际情况酌情赋分。</w:t>
            </w:r>
          </w:p>
        </w:tc>
      </w:tr>
    </w:tbl>
    <w:p>
      <w:pPr>
        <w:spacing w:line="100" w:lineRule="exact"/>
        <w:rPr>
          <w:rFonts w:ascii="黑体" w:eastAsia="黑体" w:hAnsi="黑体" w:cs="黑体"/>
          <w:bCs/>
          <w:sz w:val="32"/>
          <w:szCs w:val="32"/>
          <w:highlight w:val="none"/>
        </w:rPr>
      </w:pPr>
    </w:p>
    <w:p>
      <w:pPr>
        <w:rPr>
          <w:rFonts w:ascii="黑体" w:eastAsia="黑体" w:hAnsi="黑体" w:cs="黑体"/>
          <w:bCs/>
          <w:sz w:val="32"/>
          <w:szCs w:val="32"/>
          <w:highlight w:val="none"/>
        </w:rPr>
      </w:pPr>
      <w:r>
        <w:rPr>
          <w:rFonts w:ascii="黑体" w:eastAsia="黑体" w:hAnsi="黑体" w:hint="eastAsia"/>
          <w:kern w:val="0"/>
          <w:sz w:val="32"/>
          <w:szCs w:val="32"/>
          <w:highlight w:val="none"/>
        </w:rPr>
        <w:t>三、短视频</w:t>
      </w: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评审标准（总分100分）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4"/>
        <w:gridCol w:w="6379"/>
      </w:tblGrid>
      <w:tr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主题表达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（30分）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记录、展示“五老”</w:t>
            </w:r>
            <w:r>
              <w:rPr>
                <w:rFonts w:ascii="Times New Roman" w:eastAsia="仿宋_GB2312" w:hAnsi="Times New Roman" w:hint="eastAsia"/>
                <w:sz w:val="32"/>
                <w:szCs w:val="32"/>
                <w:highlight w:val="none"/>
              </w:rPr>
              <w:t>中老党员的入党初心和历程及为党奋斗的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感人事迹和真实感悟，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突出“五老”人物重点事迹。若偏题酌情扣分。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表现手法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鼓励形式创新,构思新颖有特色，遵循短视频传播规律，情节紧凑，内容明确，能有效表达核心思想，适宜在移动端平台播出。根据片子实际情况酌情赋分。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内容设置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/>
                <w:color w:val="000000"/>
                <w:sz w:val="32"/>
                <w:szCs w:val="32"/>
                <w:highlight w:val="none"/>
              </w:rPr>
              <w:t>作品</w:t>
            </w: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层次清晰、脉络合理、完成度高。叙事结构完整，一气呵成，能够突出人物特点，且与主题一致，有较强的思想性、艺术性、感染力和时代感。根据片子实际情况酌情赋分。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视觉与技术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制作精良、有较高艺术性。拍摄手法方面，画面富有美感，场景、色彩、光线等与主题相称。配乐到位，能进一步突出主题和人物特点。根据片子实际情况酌情赋分。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1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剪接手段、片子时长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6379" w:type="dxa"/>
            <w:noWrap w:val="0"/>
            <w:vAlign w:val="top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影片剪辑紧凑、协调。基本能以动作形态、语言、节奏为剪辑点，镜头衔接流畅，节奏把握到位。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如出现跳帧、黑屏等重大技术失误，或时长超过</w:t>
            </w:r>
            <w:r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  <w:t>1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分钟，该项即为0分。</w:t>
            </w:r>
          </w:p>
        </w:tc>
      </w:tr>
    </w:tbl>
    <w:p>
      <w:pPr>
        <w:spacing w:line="240" w:lineRule="exact"/>
        <w:rPr>
          <w:rFonts w:ascii="黑体" w:eastAsia="黑体" w:hAnsi="黑体" w:cs="黑体"/>
          <w:bCs/>
          <w:sz w:val="32"/>
          <w:szCs w:val="32"/>
          <w:highlight w:val="none"/>
        </w:rPr>
      </w:pPr>
    </w:p>
    <w:p>
      <w:pPr>
        <w:widowControl/>
        <w:jc w:val="left"/>
        <w:rPr>
          <w:rFonts w:ascii="黑体" w:eastAsia="黑体" w:hAnsi="黑体" w:cs="黑体"/>
          <w:bCs/>
          <w:sz w:val="32"/>
          <w:szCs w:val="32"/>
          <w:highlight w:val="none"/>
        </w:rPr>
      </w:pPr>
      <w:r>
        <w:rPr>
          <w:rFonts w:ascii="黑体" w:eastAsia="黑体" w:hAnsi="黑体" w:cs="黑体" w:hint="eastAsia"/>
          <w:bCs/>
          <w:sz w:val="32"/>
          <w:szCs w:val="32"/>
          <w:highlight w:val="none"/>
        </w:rPr>
        <w:t>四、舞台剧评审标准（总分100分）</w:t>
      </w:r>
    </w:p>
    <w:tbl>
      <w:tblPr>
        <w:tblStyle w:val="TableNormal"/>
        <w:tblW w:w="0" w:type="auto"/>
        <w:tblInd w:w="-64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10"/>
        <w:gridCol w:w="6420"/>
      </w:tblGrid>
      <w:tr>
        <w:tblPrEx>
          <w:tblW w:w="0" w:type="auto"/>
          <w:tblInd w:w="-64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主题表达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（30分）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color w:val="000000"/>
                <w:sz w:val="32"/>
                <w:szCs w:val="32"/>
                <w:highlight w:val="none"/>
              </w:rPr>
              <w:t>记录、展示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“五老”</w:t>
            </w:r>
            <w:r>
              <w:rPr>
                <w:rFonts w:ascii="Times New Roman" w:eastAsia="仿宋_GB2312" w:hAnsi="Times New Roman" w:hint="eastAsia"/>
                <w:sz w:val="32"/>
                <w:szCs w:val="32"/>
                <w:highlight w:val="none"/>
              </w:rPr>
              <w:t>中老党员的入党初心和历程及为党奋斗的</w:t>
            </w:r>
            <w:r>
              <w:rPr>
                <w:rFonts w:ascii="仿宋_GB2312" w:eastAsia="仿宋_GB2312" w:hAnsi="宋体" w:hint="eastAsia"/>
                <w:sz w:val="32"/>
                <w:szCs w:val="32"/>
                <w:highlight w:val="none"/>
              </w:rPr>
              <w:t>感人事迹和真实感悟</w:t>
            </w: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，主题鲜明，贴近生活，有深度，引起观众共鸣。若偏题酌情扣分。</w:t>
            </w:r>
          </w:p>
        </w:tc>
      </w:tr>
      <w:tr>
        <w:tblPrEx>
          <w:tblW w:w="0" w:type="auto"/>
          <w:tblInd w:w="-64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3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内容设置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基于人物事迹，从小点切入，以小见大；剧情编排合理，情节跌宕起伏，矛盾冲突明显；幕与幕之间转换适当。根据剧情设计酌情赋分。</w:t>
            </w:r>
          </w:p>
        </w:tc>
      </w:tr>
      <w:tr>
        <w:tblPrEx>
          <w:tblW w:w="0" w:type="auto"/>
          <w:tblInd w:w="-64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舞台表演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突出艺术设计与表现力，主题表现清晰，人物性格表现充分，动作得体到位，情感细腻有共鸣，团体合作默契。根据表演酌情赋分。</w:t>
            </w:r>
          </w:p>
        </w:tc>
      </w:tr>
      <w:tr>
        <w:tblPrEx>
          <w:tblW w:w="0" w:type="auto"/>
          <w:tblInd w:w="-64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舞台呈现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服装符合人物身份特点、合体大方，饰物搭配得当，辅助表现人物性格、剧情效果等；场景布置及道具安排准确反映剧目表达内容及环境。根据视觉效果酌情赋分。</w:t>
            </w:r>
          </w:p>
        </w:tc>
      </w:tr>
      <w:tr>
        <w:tblPrEx>
          <w:tblW w:w="0" w:type="auto"/>
          <w:tblInd w:w="-647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视频录制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int="eastAsia"/>
                <w:b/>
                <w:color w:val="000000"/>
                <w:sz w:val="32"/>
                <w:szCs w:val="32"/>
                <w:highlight w:val="none"/>
              </w:rPr>
              <w:t>（10分）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440" w:lineRule="exact"/>
              <w:rPr>
                <w:rFonts w:ascii="仿宋_GB2312" w:eastAsia="仿宋_GB2312" w:hAnsi="华文中宋"/>
                <w:color w:val="000000"/>
                <w:sz w:val="32"/>
                <w:szCs w:val="32"/>
                <w:highlight w:val="none"/>
              </w:rPr>
            </w:pPr>
            <w:r>
              <w:rPr>
                <w:rFonts w:ascii="仿宋_GB2312" w:eastAsia="仿宋_GB2312" w:hAnsi="华文中宋" w:hint="eastAsia"/>
                <w:color w:val="000000"/>
                <w:sz w:val="32"/>
                <w:szCs w:val="32"/>
                <w:highlight w:val="none"/>
              </w:rPr>
              <w:t>通过切换台进行多机位录制，有不同景别的搭配（远景、全景、中景、近景、特写）；配戴无线话筒对演员进行收音，且声音清晰；背景音乐符合剧情及气氛需要。根据视频呈现酌情赋分。</w:t>
            </w:r>
          </w:p>
        </w:tc>
      </w:tr>
    </w:tbl>
    <w:p>
      <w:pPr>
        <w:widowControl/>
        <w:jc w:val="left"/>
        <w:rPr>
          <w:rFonts w:ascii="黑体" w:eastAsia="黑体" w:hAnsi="黑体" w:cs="黑体"/>
          <w:bCs/>
          <w:sz w:val="32"/>
          <w:szCs w:val="32"/>
          <w:highlight w:val="none"/>
        </w:rPr>
        <w:sectPr>
          <w:footerReference w:type="even" r:id="rId5"/>
          <w:footerReference w:type="default" r:id="rId6"/>
          <w:pgSz w:w="11906" w:h="16838"/>
          <w:pgMar w:top="1440" w:right="1800" w:bottom="1440" w:left="1800" w:header="851" w:footer="992" w:gutter="0"/>
          <w:pgNumType w:fmt="numberInDash"/>
          <w:cols w:num="1" w:space="720"/>
          <w:docGrid w:type="lines" w:linePitch="312" w:charSpace="0"/>
        </w:sectPr>
      </w:pPr>
    </w:p>
    <w:p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7B4"/>
    <w:rsid w:val="0004595F"/>
    <w:rsid w:val="00087B22"/>
    <w:rsid w:val="000C2637"/>
    <w:rsid w:val="000C550A"/>
    <w:rsid w:val="001A78F9"/>
    <w:rsid w:val="001C5862"/>
    <w:rsid w:val="001D7516"/>
    <w:rsid w:val="00205D69"/>
    <w:rsid w:val="002B3CE3"/>
    <w:rsid w:val="002C4931"/>
    <w:rsid w:val="002E1167"/>
    <w:rsid w:val="0030055D"/>
    <w:rsid w:val="003227D0"/>
    <w:rsid w:val="003557CB"/>
    <w:rsid w:val="00371633"/>
    <w:rsid w:val="003B1677"/>
    <w:rsid w:val="003B711F"/>
    <w:rsid w:val="003B79E6"/>
    <w:rsid w:val="00410B19"/>
    <w:rsid w:val="00451E9B"/>
    <w:rsid w:val="004756B0"/>
    <w:rsid w:val="00492173"/>
    <w:rsid w:val="004D5AAA"/>
    <w:rsid w:val="0051107F"/>
    <w:rsid w:val="006309AE"/>
    <w:rsid w:val="006A3871"/>
    <w:rsid w:val="00766E10"/>
    <w:rsid w:val="00773F00"/>
    <w:rsid w:val="007821DD"/>
    <w:rsid w:val="008F0C0D"/>
    <w:rsid w:val="009C3B0E"/>
    <w:rsid w:val="00A65418"/>
    <w:rsid w:val="00A737B4"/>
    <w:rsid w:val="00A80953"/>
    <w:rsid w:val="00AA0DA0"/>
    <w:rsid w:val="00AC2B92"/>
    <w:rsid w:val="00AE43B1"/>
    <w:rsid w:val="00AE6F4A"/>
    <w:rsid w:val="00B40DF3"/>
    <w:rsid w:val="00B67C35"/>
    <w:rsid w:val="00B701AA"/>
    <w:rsid w:val="00BB660E"/>
    <w:rsid w:val="00BC3256"/>
    <w:rsid w:val="00C67842"/>
    <w:rsid w:val="00C730B0"/>
    <w:rsid w:val="00C803CD"/>
    <w:rsid w:val="00C86B59"/>
    <w:rsid w:val="00C953A6"/>
    <w:rsid w:val="00CA6EB3"/>
    <w:rsid w:val="00CB3C98"/>
    <w:rsid w:val="00CC0BB1"/>
    <w:rsid w:val="00CE2F93"/>
    <w:rsid w:val="00CF1EB6"/>
    <w:rsid w:val="00D26898"/>
    <w:rsid w:val="00D6472E"/>
    <w:rsid w:val="00EA2D68"/>
    <w:rsid w:val="00F242B3"/>
    <w:rsid w:val="00F2455E"/>
    <w:rsid w:val="00FC609C"/>
    <w:rsid w:val="1D2F4B5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 w:semiHidden="0" w:unhideWhenUsed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2020-06-22T09:01:00Z</dcterms:created>
  <dcterms:modified xsi:type="dcterms:W3CDTF">2021-01-18T08:54:16Z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